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裕民县人民检察院</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lang w:eastAsia="zh-CN"/>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深入贯彻习近平新时代中国特色社会主义思想，深入贯彻党的路线方针政策和决策部署，聚焦社会稳定和长治久安总目标，统一检察人员思想和行动，坚持党对检察工作的决定领导，坚决维护习近平总书记的核心地位，坚决维护党中央权威和集中统一领导</w:t>
      </w:r>
      <w:r>
        <w:rPr>
          <w:rFonts w:hint="eastAsia" w:ascii="仿宋_GB2312" w:eastAsia="仿宋_GB2312"/>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依法向裕民县人民代表大会及其常务委员会提出议案。</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贯彻落实检察工作方针、总体规划，完成检察工作任务。</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依法开展对刑事犯罪案件的审查批准逮捕、决定逮捕、审查起诉工作。</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负责应由裕民县人民检察院承办的刑事、民事、行政诉讼活动及刑事、民事、行政判决和裁定等生效法律文书执行的法律监督工作。</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负责对裕民县人民法院已发生法律效力、确有错误的判决和裁定，依法提请伊犁哈萨克自治州人民检察院塔城分院向伊犁哈萨克自治州塔城地区中级人民法院提出抗诉。</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负责应由裕民县人民检察院承办的提起公益诉讼工作。</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负责应由裕民县人民检察院承办的对安置教育机构、看守所、社区矫正机构等执法活动的法律监督工作。</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受理向裕民县人民检察院的控告申诉，开展控告申诉检察工作。</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开展检察应用和理论研究工作。</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负责检察院队伍建设和思想政治工作。依法管理检察官及其他检察人员的工作，开展检察机关教育培训工作。</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开展检察院检务督察工作。</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开展检察机关的财务装备工作，检察技术信息工作。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14</w:t>
      </w:r>
      <w:r>
        <w:rPr>
          <w:rFonts w:hint="eastAsia" w:ascii="仿宋_GB2312" w:eastAsia="仿宋_GB2312"/>
          <w:color w:val="auto"/>
          <w:sz w:val="32"/>
          <w:szCs w:val="32"/>
          <w:highlight w:val="none"/>
          <w:lang w:eastAsia="zh-CN"/>
        </w:rPr>
        <w:t>）负责其他应当由裕民县人民检察院承办的事项。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bookmarkStart w:id="6" w:name="_Toc3092"/>
      <w:bookmarkStart w:id="7" w:name="_Toc29374"/>
      <w:r>
        <w:rPr>
          <w:rFonts w:hint="eastAsia" w:ascii="仿宋_GB2312" w:eastAsia="仿宋_GB2312"/>
          <w:color w:val="auto"/>
          <w:sz w:val="32"/>
          <w:szCs w:val="32"/>
          <w:highlight w:val="none"/>
          <w:lang w:val="en-US" w:eastAsia="zh-CN"/>
        </w:rPr>
        <w:t>裕民县人民检察院</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31</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19</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12</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仿宋_GB2312" w:hAnsi="黑体" w:eastAsia="仿宋_GB2312" w:cs="宋体"/>
          <w:bCs/>
          <w:color w:val="auto"/>
          <w:kern w:val="0"/>
          <w:sz w:val="32"/>
          <w:szCs w:val="32"/>
          <w:highlight w:val="none"/>
          <w:lang w:eastAsia="zh-CN"/>
        </w:r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5</w:t>
      </w:r>
      <w:r>
        <w:rPr>
          <w:rFonts w:hint="eastAsia" w:ascii="仿宋_GB2312" w:hAnsi="黑体" w:eastAsia="仿宋_GB2312" w:cs="宋体"/>
          <w:bCs/>
          <w:color w:val="auto"/>
          <w:kern w:val="0"/>
          <w:sz w:val="32"/>
          <w:szCs w:val="32"/>
          <w:highlight w:val="none"/>
        </w:rPr>
        <w:t>个处室，分别是：</w:t>
      </w:r>
      <w:r>
        <w:rPr>
          <w:rFonts w:hint="eastAsia" w:ascii="仿宋_GB2312" w:hAnsi="黑体" w:eastAsia="仿宋_GB2312" w:cs="宋体"/>
          <w:bCs/>
          <w:color w:val="auto"/>
          <w:kern w:val="0"/>
          <w:sz w:val="32"/>
          <w:szCs w:val="32"/>
          <w:highlight w:val="none"/>
          <w:lang w:eastAsia="zh-CN"/>
        </w:rPr>
        <w:t>办公室、第一检察部、第二检察部、第三检察部、政治部。</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pStyle w:val="2"/>
        <w:rPr>
          <w:rFonts w:hint="eastAsia" w:ascii="黑体" w:hAnsi="黑体" w:eastAsia="黑体"/>
          <w:color w:val="auto"/>
          <w:sz w:val="32"/>
          <w:szCs w:val="32"/>
          <w:highlight w:val="none"/>
        </w:rPr>
      </w:pPr>
    </w:p>
    <w:p>
      <w:pPr>
        <w:pStyle w:val="2"/>
        <w:rPr>
          <w:rFonts w:hint="eastAsia" w:ascii="黑体" w:hAnsi="黑体" w:eastAsia="黑体"/>
          <w:color w:val="auto"/>
          <w:sz w:val="32"/>
          <w:szCs w:val="32"/>
          <w:highlight w:val="none"/>
        </w:rPr>
      </w:pPr>
    </w:p>
    <w:p>
      <w:pPr>
        <w:pStyle w:val="2"/>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pStyle w:val="2"/>
        <w:rPr>
          <w:rFonts w:hint="eastAsia" w:ascii="黑体" w:hAnsi="黑体" w:eastAsia="黑体"/>
          <w:color w:val="auto"/>
          <w:sz w:val="32"/>
          <w:szCs w:val="32"/>
          <w:highlight w:val="none"/>
        </w:rPr>
      </w:pPr>
    </w:p>
    <w:p>
      <w:pPr>
        <w:pStyle w:val="2"/>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665.92万元，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642.35万元，使用非财政拨款结余0.00万元，年初结转和结余23.57万元。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665.92万元，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651.16万元，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0.00万元，年末结转和结余14.77万元。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增加44.30万元</w:t>
      </w:r>
      <w:r>
        <w:rPr>
          <w:rFonts w:hint="eastAsia" w:ascii="仿宋_GB2312" w:eastAsia="仿宋_GB2312"/>
          <w:color w:val="auto"/>
          <w:spacing w:val="0"/>
          <w:sz w:val="32"/>
          <w:szCs w:val="32"/>
          <w:highlight w:val="none"/>
          <w:lang w:eastAsia="zh-CN"/>
        </w:rPr>
        <w:t>，增长7.13%，主要原因是：在职人员工资、</w:t>
      </w:r>
      <w:r>
        <w:rPr>
          <w:rFonts w:hint="eastAsia" w:ascii="仿宋_GB2312" w:eastAsia="仿宋_GB2312"/>
          <w:color w:val="auto"/>
          <w:spacing w:val="0"/>
          <w:sz w:val="32"/>
          <w:szCs w:val="32"/>
          <w:highlight w:val="none"/>
          <w:lang w:val="en-US" w:eastAsia="zh-CN"/>
        </w:rPr>
        <w:t>奖金</w:t>
      </w:r>
      <w:r>
        <w:rPr>
          <w:rFonts w:hint="eastAsia" w:ascii="仿宋_GB2312" w:eastAsia="仿宋_GB2312"/>
          <w:color w:val="auto"/>
          <w:spacing w:val="0"/>
          <w:sz w:val="32"/>
          <w:szCs w:val="32"/>
          <w:highlight w:val="none"/>
          <w:lang w:eastAsia="zh-CN"/>
        </w:rPr>
        <w:t>调增，社保及公积金缴费基数调增，经费增加。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642.35</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631.00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98.23%</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11.35</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1.77%</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本年支出651.16万元，其中：基本支出554.15万元，占85.10%；项目支出97.01万元，占14.90%；上缴上级支出0.00万元，占0.00%；经营支出0.00万元，占0.00%；对附属单位补助支出0.00万元，占0.00%。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631.00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631.00</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631.00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631.00</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zh-CN" w:eastAsia="zh-CN"/>
        </w:rPr>
        <w:t>增加46.06万元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增长7.87%，</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一是</w:t>
      </w:r>
      <w:r>
        <w:rPr>
          <w:rFonts w:hint="eastAsia" w:ascii="仿宋_GB2312" w:eastAsia="仿宋_GB2312"/>
          <w:color w:val="auto"/>
          <w:spacing w:val="0"/>
          <w:sz w:val="32"/>
          <w:szCs w:val="32"/>
          <w:highlight w:val="none"/>
          <w:lang w:eastAsia="zh-CN"/>
        </w:rPr>
        <w:t>在职人员工资调增，</w:t>
      </w:r>
      <w:r>
        <w:rPr>
          <w:rFonts w:hint="eastAsia" w:ascii="仿宋_GB2312" w:eastAsia="仿宋_GB2312"/>
          <w:color w:val="auto"/>
          <w:spacing w:val="0"/>
          <w:sz w:val="32"/>
          <w:szCs w:val="32"/>
          <w:highlight w:val="none"/>
          <w:lang w:val="en-US" w:eastAsia="zh-CN"/>
        </w:rPr>
        <w:t>追加</w:t>
      </w:r>
      <w:r>
        <w:rPr>
          <w:rFonts w:hint="eastAsia" w:ascii="仿宋_GB2312" w:eastAsia="仿宋_GB2312"/>
          <w:color w:val="auto"/>
          <w:spacing w:val="0"/>
          <w:sz w:val="32"/>
          <w:szCs w:val="32"/>
          <w:highlight w:val="none"/>
          <w:lang w:eastAsia="zh-CN"/>
        </w:rPr>
        <w:t>社保及公积金缴费；</w:t>
      </w:r>
      <w:r>
        <w:rPr>
          <w:rFonts w:hint="eastAsia" w:ascii="仿宋_GB2312" w:eastAsia="仿宋_GB2312"/>
          <w:color w:val="auto"/>
          <w:spacing w:val="0"/>
          <w:sz w:val="32"/>
          <w:szCs w:val="32"/>
          <w:highlight w:val="none"/>
          <w:lang w:val="en-US" w:eastAsia="zh-CN"/>
        </w:rPr>
        <w:t>二是</w:t>
      </w:r>
      <w:r>
        <w:rPr>
          <w:rFonts w:hint="eastAsia" w:ascii="仿宋_GB2312" w:eastAsia="仿宋_GB2312"/>
          <w:color w:val="auto"/>
          <w:spacing w:val="0"/>
          <w:sz w:val="32"/>
          <w:szCs w:val="32"/>
          <w:highlight w:val="none"/>
          <w:lang w:eastAsia="zh-CN"/>
        </w:rPr>
        <w:t>在职转退休一人，职业年金坐实，经费增加。与年初预算相比，年初预算数</w:t>
      </w:r>
      <w:r>
        <w:rPr>
          <w:rFonts w:hint="eastAsia" w:ascii="仿宋_GB2312" w:eastAsia="仿宋_GB2312"/>
          <w:color w:val="auto"/>
          <w:spacing w:val="0"/>
          <w:sz w:val="32"/>
          <w:szCs w:val="32"/>
          <w:highlight w:val="none"/>
          <w:lang w:val="zh-CN" w:eastAsia="zh-CN"/>
        </w:rPr>
        <w:t>593.36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631.00</w:t>
      </w:r>
      <w:r>
        <w:rPr>
          <w:rFonts w:hint="eastAsia" w:ascii="仿宋_GB2312" w:eastAsia="仿宋_GB2312"/>
          <w:color w:val="auto"/>
          <w:spacing w:val="0"/>
          <w:sz w:val="32"/>
          <w:szCs w:val="32"/>
          <w:highlight w:val="none"/>
          <w:lang w:eastAsia="zh-CN"/>
        </w:rPr>
        <w:t>万元，预决算差异率6.34%，主要原因是：</w:t>
      </w:r>
      <w:r>
        <w:rPr>
          <w:rFonts w:hint="eastAsia" w:ascii="仿宋_GB2312" w:eastAsia="仿宋_GB2312"/>
          <w:color w:val="auto"/>
          <w:spacing w:val="0"/>
          <w:sz w:val="32"/>
          <w:szCs w:val="32"/>
          <w:highlight w:val="none"/>
          <w:lang w:val="en-US" w:eastAsia="zh-CN"/>
        </w:rPr>
        <w:t>一是</w:t>
      </w:r>
      <w:r>
        <w:rPr>
          <w:rFonts w:hint="eastAsia" w:ascii="仿宋_GB2312" w:eastAsia="仿宋_GB2312"/>
          <w:color w:val="auto"/>
          <w:spacing w:val="0"/>
          <w:sz w:val="32"/>
          <w:szCs w:val="32"/>
          <w:highlight w:val="none"/>
          <w:lang w:eastAsia="zh-CN"/>
        </w:rPr>
        <w:t>在职人员工资调增，</w:t>
      </w:r>
      <w:r>
        <w:rPr>
          <w:rFonts w:hint="eastAsia" w:ascii="仿宋_GB2312" w:eastAsia="仿宋_GB2312"/>
          <w:color w:val="auto"/>
          <w:spacing w:val="0"/>
          <w:sz w:val="32"/>
          <w:szCs w:val="32"/>
          <w:highlight w:val="none"/>
          <w:lang w:val="en-US" w:eastAsia="zh-CN"/>
        </w:rPr>
        <w:t>追加</w:t>
      </w:r>
      <w:r>
        <w:rPr>
          <w:rFonts w:hint="eastAsia" w:ascii="仿宋_GB2312" w:eastAsia="仿宋_GB2312"/>
          <w:color w:val="auto"/>
          <w:spacing w:val="0"/>
          <w:sz w:val="32"/>
          <w:szCs w:val="32"/>
          <w:highlight w:val="none"/>
          <w:lang w:eastAsia="zh-CN"/>
        </w:rPr>
        <w:t>社保及公积金缴费</w:t>
      </w:r>
      <w:r>
        <w:rPr>
          <w:rFonts w:hint="eastAsia" w:ascii="仿宋_GB2312" w:eastAsia="仿宋_GB2312"/>
          <w:color w:val="auto"/>
          <w:spacing w:val="0"/>
          <w:sz w:val="32"/>
          <w:szCs w:val="32"/>
          <w:highlight w:val="none"/>
          <w:lang w:val="en-US" w:eastAsia="zh-CN"/>
        </w:rPr>
        <w:t>；二是</w:t>
      </w:r>
      <w:r>
        <w:rPr>
          <w:rFonts w:hint="eastAsia" w:ascii="仿宋_GB2312" w:eastAsia="仿宋_GB2312"/>
          <w:color w:val="auto"/>
          <w:spacing w:val="0"/>
          <w:sz w:val="32"/>
          <w:szCs w:val="32"/>
          <w:highlight w:val="none"/>
          <w:lang w:eastAsia="zh-CN"/>
        </w:rPr>
        <w:t>在职转退休一人，职业年金坐实，经费增加。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2023年度一般公共预算财政拨款支出631.00万元，占本年支出合计的</w:t>
      </w:r>
      <w:r>
        <w:rPr>
          <w:rFonts w:hint="eastAsia" w:ascii="仿宋_GB2312" w:eastAsia="仿宋_GB2312"/>
          <w:color w:val="auto"/>
          <w:spacing w:val="0"/>
          <w:sz w:val="32"/>
          <w:szCs w:val="32"/>
          <w:highlight w:val="none"/>
          <w:lang w:val="zh-CN" w:eastAsia="zh-CN"/>
        </w:rPr>
        <w:t>96.90%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增加46.06万元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增长7.87%，</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一是</w:t>
      </w:r>
      <w:r>
        <w:rPr>
          <w:rFonts w:hint="eastAsia" w:ascii="仿宋_GB2312" w:eastAsia="仿宋_GB2312"/>
          <w:color w:val="auto"/>
          <w:spacing w:val="0"/>
          <w:sz w:val="32"/>
          <w:szCs w:val="32"/>
          <w:highlight w:val="none"/>
          <w:lang w:eastAsia="zh-CN"/>
        </w:rPr>
        <w:t>在职人员工资调增，</w:t>
      </w:r>
      <w:r>
        <w:rPr>
          <w:rFonts w:hint="eastAsia" w:ascii="仿宋_GB2312" w:eastAsia="仿宋_GB2312"/>
          <w:color w:val="auto"/>
          <w:spacing w:val="0"/>
          <w:sz w:val="32"/>
          <w:szCs w:val="32"/>
          <w:highlight w:val="none"/>
          <w:lang w:val="en-US" w:eastAsia="zh-CN"/>
        </w:rPr>
        <w:t>追加</w:t>
      </w:r>
      <w:r>
        <w:rPr>
          <w:rFonts w:hint="eastAsia" w:ascii="仿宋_GB2312" w:eastAsia="仿宋_GB2312"/>
          <w:color w:val="auto"/>
          <w:spacing w:val="0"/>
          <w:sz w:val="32"/>
          <w:szCs w:val="32"/>
          <w:highlight w:val="none"/>
          <w:lang w:eastAsia="zh-CN"/>
        </w:rPr>
        <w:t>社保及公积金缴费</w:t>
      </w:r>
      <w:r>
        <w:rPr>
          <w:rFonts w:hint="eastAsia" w:ascii="仿宋_GB2312" w:eastAsia="仿宋_GB2312"/>
          <w:color w:val="auto"/>
          <w:spacing w:val="0"/>
          <w:sz w:val="32"/>
          <w:szCs w:val="32"/>
          <w:highlight w:val="none"/>
          <w:lang w:val="en-US" w:eastAsia="zh-CN"/>
        </w:rPr>
        <w:t>；二是</w:t>
      </w:r>
      <w:r>
        <w:rPr>
          <w:rFonts w:hint="eastAsia" w:ascii="仿宋_GB2312" w:eastAsia="仿宋_GB2312"/>
          <w:color w:val="auto"/>
          <w:spacing w:val="0"/>
          <w:sz w:val="32"/>
          <w:szCs w:val="32"/>
          <w:highlight w:val="none"/>
          <w:lang w:eastAsia="zh-CN"/>
        </w:rPr>
        <w:t>在职转退休一人，职业年金坐实，经费增加。与年初预算相比，年初预算数</w:t>
      </w:r>
      <w:r>
        <w:rPr>
          <w:rFonts w:hint="eastAsia" w:ascii="仿宋_GB2312" w:eastAsia="仿宋_GB2312"/>
          <w:color w:val="auto"/>
          <w:spacing w:val="0"/>
          <w:sz w:val="32"/>
          <w:szCs w:val="32"/>
          <w:highlight w:val="none"/>
          <w:lang w:val="zh-CN" w:eastAsia="zh-CN"/>
        </w:rPr>
        <w:t>593.36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631.00</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6.34%</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一是</w:t>
      </w:r>
      <w:r>
        <w:rPr>
          <w:rFonts w:hint="eastAsia" w:ascii="仿宋_GB2312" w:eastAsia="仿宋_GB2312"/>
          <w:color w:val="auto"/>
          <w:spacing w:val="0"/>
          <w:sz w:val="32"/>
          <w:szCs w:val="32"/>
          <w:highlight w:val="none"/>
          <w:lang w:eastAsia="zh-CN"/>
        </w:rPr>
        <w:t>在职人员工资调增，</w:t>
      </w:r>
      <w:r>
        <w:rPr>
          <w:rFonts w:hint="eastAsia" w:ascii="仿宋_GB2312" w:eastAsia="仿宋_GB2312"/>
          <w:color w:val="auto"/>
          <w:spacing w:val="0"/>
          <w:sz w:val="32"/>
          <w:szCs w:val="32"/>
          <w:highlight w:val="none"/>
          <w:lang w:val="en-US" w:eastAsia="zh-CN"/>
        </w:rPr>
        <w:t>追加</w:t>
      </w:r>
      <w:r>
        <w:rPr>
          <w:rFonts w:hint="eastAsia" w:ascii="仿宋_GB2312" w:eastAsia="仿宋_GB2312"/>
          <w:color w:val="auto"/>
          <w:spacing w:val="0"/>
          <w:sz w:val="32"/>
          <w:szCs w:val="32"/>
          <w:highlight w:val="none"/>
          <w:lang w:eastAsia="zh-CN"/>
        </w:rPr>
        <w:t>社保及公积金</w:t>
      </w:r>
      <w:r>
        <w:rPr>
          <w:rFonts w:hint="eastAsia" w:ascii="仿宋_GB2312" w:eastAsia="仿宋_GB2312"/>
          <w:color w:val="auto"/>
          <w:spacing w:val="0"/>
          <w:sz w:val="32"/>
          <w:szCs w:val="32"/>
          <w:highlight w:val="none"/>
          <w:lang w:val="en-US" w:eastAsia="zh-CN"/>
        </w:rPr>
        <w:t>缴费；二是</w:t>
      </w:r>
      <w:r>
        <w:rPr>
          <w:rFonts w:hint="eastAsia" w:ascii="仿宋_GB2312" w:eastAsia="仿宋_GB2312"/>
          <w:color w:val="auto"/>
          <w:spacing w:val="0"/>
          <w:sz w:val="32"/>
          <w:szCs w:val="32"/>
          <w:highlight w:val="none"/>
          <w:lang w:eastAsia="zh-CN"/>
        </w:rPr>
        <w:t>在职转退休一人，职业年金坐实，经费增加。</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.公共安全类支出（类）</w:t>
      </w:r>
      <w:r>
        <w:rPr>
          <w:rFonts w:hint="eastAsia" w:ascii="仿宋_GB2312" w:hAnsi="Times New Roman" w:eastAsia="仿宋_GB2312" w:cs="Times New Roman"/>
          <w:color w:val="auto"/>
          <w:spacing w:val="0"/>
          <w:kern w:val="2"/>
          <w:sz w:val="32"/>
          <w:szCs w:val="32"/>
          <w:highlight w:val="none"/>
          <w:lang w:val="zh-CN" w:eastAsia="zh-CN" w:bidi="ar-SA"/>
        </w:rPr>
        <w:t>503.64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79.82%。</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70.40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11.16%。</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21.53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3.41%。</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27.87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4.42%。</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5</w:t>
      </w:r>
      <w:r>
        <w:rPr>
          <w:rFonts w:hint="default" w:ascii="仿宋_GB2312" w:hAnsi="Times New Roman" w:eastAsia="仿宋_GB2312" w:cs="Times New Roman"/>
          <w:color w:val="auto"/>
          <w:spacing w:val="0"/>
          <w:kern w:val="2"/>
          <w:sz w:val="32"/>
          <w:szCs w:val="32"/>
          <w:highlight w:val="none"/>
          <w:lang w:val="zh-CN" w:eastAsia="zh-CN" w:bidi="ar-SA"/>
        </w:rPr>
        <w:t>.其他支出（类）</w:t>
      </w:r>
      <w:r>
        <w:rPr>
          <w:rFonts w:hint="eastAsia" w:ascii="仿宋_GB2312" w:hAnsi="Times New Roman" w:eastAsia="仿宋_GB2312" w:cs="Times New Roman"/>
          <w:color w:val="auto"/>
          <w:spacing w:val="0"/>
          <w:kern w:val="2"/>
          <w:sz w:val="32"/>
          <w:szCs w:val="32"/>
          <w:highlight w:val="none"/>
          <w:lang w:val="zh-CN" w:eastAsia="zh-CN" w:bidi="ar-SA"/>
        </w:rPr>
        <w:t>7.56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1.20%。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1.卫生健康支出（类）行政事业单位医疗（款）行政单位医疗（项）：支出决算数为14.69万元，比上年决算减少1.19万元，下降7.49%，主要原因是：在职转退休一人，医疗保险支出减少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2.卫生健康支出（类）行政事业单位医疗（款）公务员医疗补助（项）：支出决算数为6.85万元，比上年决算减少0.38万元，下降5.26%，主要原因是：在职转退休一人，公务员医疗补助支出减少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3.住房保障支出（类）住房改革支出（款）住房公积金（项）：支出决算数为27.87万元，比上年决算增加2.04万元，增长7.90%，主要原因是：在职人员工资调增，</w:t>
      </w:r>
      <w:r>
        <w:rPr>
          <w:rFonts w:hint="eastAsia" w:ascii="仿宋_GB2312" w:hAnsi="仿宋" w:eastAsia="仿宋_GB2312"/>
          <w:sz w:val="32"/>
          <w:szCs w:val="32"/>
          <w:lang w:val="en-US" w:eastAsia="zh-CN"/>
        </w:rPr>
        <w:t>在职公务员住房公积金基数较上年增长，致使决算经费增加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4.公共安全支出（类）检察（款）行政运行（项）：支出决算数为414.19万元，比上年决算增加27.88万元，增长7.22%，主要原因是：在职人员工资、奖金调增，</w:t>
      </w:r>
      <w:r>
        <w:rPr>
          <w:rFonts w:hint="eastAsia" w:ascii="仿宋_GB2312" w:hAnsi="仿宋" w:eastAsia="仿宋_GB2312"/>
          <w:sz w:val="32"/>
          <w:szCs w:val="32"/>
          <w:lang w:val="en-US" w:eastAsia="zh-CN"/>
        </w:rPr>
        <w:t>年初调整工伤失业测算基数，</w:t>
      </w:r>
      <w:r>
        <w:rPr>
          <w:rFonts w:hint="eastAsia" w:ascii="仿宋_GB2312" w:hAnsi="仿宋_GB2312" w:eastAsia="仿宋_GB2312" w:cs="仿宋_GB2312"/>
          <w:color w:val="auto"/>
          <w:kern w:val="2"/>
          <w:sz w:val="32"/>
          <w:szCs w:val="32"/>
          <w:highlight w:val="none"/>
          <w:lang w:val="en-US" w:eastAsia="zh-CN" w:bidi="ar-SA"/>
        </w:rPr>
        <w:t>社保及公积金缴费基数调增，经费增加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5.公共安全支出（类）检察（款）其他检察支出（项）：支出决算数为89.45万元，比上年决算增加10.00万元，增长12.59%，主要原因是：</w:t>
      </w: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eastAsia="zh-CN"/>
        </w:rPr>
        <w:t>下达</w:t>
      </w:r>
      <w:r>
        <w:rPr>
          <w:rFonts w:hint="eastAsia" w:ascii="仿宋_GB2312" w:hAnsi="宋体" w:eastAsia="仿宋_GB2312" w:cs="宋体"/>
          <w:kern w:val="0"/>
          <w:sz w:val="32"/>
          <w:szCs w:val="32"/>
          <w:lang w:val="en-US" w:eastAsia="zh-CN"/>
        </w:rPr>
        <w:t>专项</w:t>
      </w:r>
      <w:r>
        <w:rPr>
          <w:rFonts w:hint="eastAsia" w:ascii="仿宋_GB2312" w:hAnsi="宋体" w:eastAsia="仿宋_GB2312" w:cs="宋体"/>
          <w:kern w:val="0"/>
          <w:sz w:val="32"/>
          <w:szCs w:val="32"/>
          <w:lang w:eastAsia="zh-CN"/>
        </w:rPr>
        <w:t>资金</w:t>
      </w:r>
      <w:r>
        <w:rPr>
          <w:rFonts w:hint="eastAsia" w:ascii="仿宋_GB2312" w:hAnsi="宋体" w:eastAsia="仿宋_GB2312" w:cs="宋体"/>
          <w:kern w:val="0"/>
          <w:sz w:val="32"/>
          <w:szCs w:val="32"/>
        </w:rPr>
        <w:t>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6.社会保障和就业支出（类）行政事业单位养老支出（款）行政单位离退休（项）：支出决算数为32.50万元，比上年决算增加0.02万元，增长0.06%，主要原因是：退休人员工资调增，经费增加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社会保障和就业支出（类）行政事业单位养老支出（款）机关事业单位职业年金缴费支出（项）：支出决算数为1.99万元，比上年决算增加1.14万元，增长134.12%，主要原因是：在职转退休一人，职业年金坐实，经费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8.其他支出（类）其他支出（款）其他支出（项）：支出决算数为7.56万元，比上年决算增加2.56万元，增长51.20%，主要原因是：年中工作队调整，经费调增</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9.社会保障和就业支出（类）行政事业单位养老支出（款）机关事业单位基本养老保险缴费支出（项）：支出决算数为35.92万元，比上年决算增加4.00万元，增长12.53%，主要原因是：在职人员工资调增，</w:t>
      </w:r>
      <w:r>
        <w:rPr>
          <w:rFonts w:hint="eastAsia" w:ascii="仿宋_GB2312" w:hAnsi="仿宋" w:eastAsia="仿宋_GB2312"/>
          <w:sz w:val="32"/>
          <w:szCs w:val="32"/>
          <w:lang w:val="en-US" w:eastAsia="zh-CN"/>
        </w:rPr>
        <w:t>年初养老保险测算基数调整</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533.99</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491.89</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机关事业单位基本养老保险缴费、职业年金缴费、职工基本医疗保险缴费、公务员医疗补助缴费、其他社会保障缴费、住房公积金、其他工资福利支出、退休费、抚恤金、生活补助、医疗费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宋体" w:eastAsia="仿宋_GB2312" w:cs="宋体"/>
          <w:color w:val="auto"/>
          <w:kern w:val="0"/>
          <w:sz w:val="32"/>
          <w:szCs w:val="32"/>
          <w:highlight w:val="none"/>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42.10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办公费、水费、电费、取暖费、维修（护）费、租赁费、劳务费、工会经费、福利费</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“三公”经费支出7.82万元，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增加2.15万元，</w:t>
      </w:r>
      <w:r>
        <w:rPr>
          <w:rFonts w:hint="eastAsia" w:ascii="仿宋_GB2312" w:eastAsia="仿宋_GB2312"/>
          <w:color w:val="auto"/>
          <w:spacing w:val="0"/>
          <w:sz w:val="32"/>
          <w:szCs w:val="32"/>
          <w:highlight w:val="none"/>
          <w:lang w:val="en-US" w:eastAsia="zh-CN"/>
        </w:rPr>
        <w:t>增长37.68%，</w:t>
      </w:r>
      <w:r>
        <w:rPr>
          <w:rFonts w:hint="eastAsia" w:ascii="仿宋_GB2312" w:eastAsia="仿宋_GB2312"/>
          <w:color w:val="auto"/>
          <w:sz w:val="32"/>
          <w:szCs w:val="32"/>
          <w:highlight w:val="none"/>
          <w:lang w:val="zh-CN" w:eastAsia="zh-CN"/>
        </w:rPr>
        <w:t>主要原因是：车辆运行年限长，维护费增多，经费增加。其中：因公出国（境）费支出0.00万元，占0.00%，比上年增加0.00万元，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本单位无</w:t>
      </w:r>
      <w:r>
        <w:rPr>
          <w:rFonts w:hint="eastAsia" w:ascii="仿宋_GB2312" w:eastAsia="仿宋_GB2312"/>
          <w:color w:val="auto"/>
          <w:sz w:val="32"/>
          <w:szCs w:val="32"/>
          <w:highlight w:val="none"/>
          <w:lang w:val="zh-CN" w:eastAsia="zh-CN"/>
        </w:rPr>
        <w:t>因公出国（境）费支出，</w:t>
      </w:r>
      <w:r>
        <w:rPr>
          <w:rFonts w:hint="eastAsia" w:ascii="仿宋_GB2312" w:eastAsia="仿宋_GB2312"/>
          <w:color w:val="auto"/>
          <w:sz w:val="32"/>
          <w:szCs w:val="32"/>
          <w:highlight w:val="none"/>
          <w:lang w:val="en-US" w:eastAsia="zh-CN"/>
        </w:rPr>
        <w:t>与上年相比无差异</w:t>
      </w:r>
      <w:r>
        <w:rPr>
          <w:rFonts w:hint="eastAsia" w:ascii="仿宋_GB2312" w:eastAsia="仿宋_GB2312"/>
          <w:color w:val="auto"/>
          <w:sz w:val="32"/>
          <w:szCs w:val="32"/>
          <w:highlight w:val="none"/>
          <w:lang w:val="zh-CN" w:eastAsia="zh-CN"/>
        </w:rPr>
        <w:t>；公务用车购置及运行维护费支出7.82万元，占100.00%，比上年增加2.14万元，</w:t>
      </w:r>
      <w:r>
        <w:rPr>
          <w:rFonts w:hint="eastAsia" w:ascii="仿宋_GB2312" w:eastAsia="仿宋_GB2312"/>
          <w:color w:val="auto"/>
          <w:spacing w:val="0"/>
          <w:sz w:val="32"/>
          <w:szCs w:val="32"/>
          <w:highlight w:val="none"/>
          <w:lang w:val="en-US" w:eastAsia="zh-CN"/>
        </w:rPr>
        <w:t>增长37.68%，</w:t>
      </w:r>
      <w:r>
        <w:rPr>
          <w:rFonts w:hint="eastAsia" w:ascii="仿宋_GB2312" w:eastAsia="仿宋_GB2312"/>
          <w:color w:val="auto"/>
          <w:sz w:val="32"/>
          <w:szCs w:val="32"/>
          <w:highlight w:val="none"/>
          <w:lang w:val="zh-CN" w:eastAsia="zh-CN"/>
        </w:rPr>
        <w:t>主要原因是：车辆运行年限长，维护费增多，经费增加；公务接待费支出0.00万元，占0.00%，比上年增加0.00万元，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本单位无</w:t>
      </w:r>
      <w:r>
        <w:rPr>
          <w:rFonts w:hint="eastAsia" w:ascii="仿宋_GB2312" w:eastAsia="仿宋_GB2312"/>
          <w:color w:val="auto"/>
          <w:sz w:val="32"/>
          <w:szCs w:val="32"/>
          <w:highlight w:val="none"/>
          <w:lang w:val="zh-CN" w:eastAsia="zh-CN"/>
        </w:rPr>
        <w:t>公务接待费支出，</w:t>
      </w:r>
      <w:r>
        <w:rPr>
          <w:rFonts w:hint="eastAsia" w:ascii="仿宋_GB2312" w:eastAsia="仿宋_GB2312"/>
          <w:color w:val="auto"/>
          <w:sz w:val="32"/>
          <w:szCs w:val="32"/>
          <w:highlight w:val="none"/>
          <w:lang w:val="en-US" w:eastAsia="zh-CN"/>
        </w:rPr>
        <w:t>与上年相比无差异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因公出国（境）费支出。单位全年安排的因公出国（境）团组0个，因公出国（境）0人次。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7.82万元，其中：公务用车购置费0.00万元，公务用车运行维护费7.82万元。公务用车运行维护费开支内容包括车辆燃油费、车辆过路费、车辆维修费、车辆保险费。公务用车购置数0辆，公务用车保有量4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4辆，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原因是：与固定资产一致，无差异。</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公务接待费支出。单位全年安排的国内公务接待0批次，0人次。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预算数8.38万元，决算数7.82万元，预决算差异率-6.68%，主要原因是：本着</w:t>
      </w:r>
      <w:r>
        <w:rPr>
          <w:rFonts w:hint="eastAsia" w:ascii="仿宋_GB2312" w:hAnsi="仿宋" w:eastAsia="仿宋_GB2312"/>
          <w:color w:val="auto"/>
          <w:sz w:val="32"/>
          <w:szCs w:val="32"/>
          <w:lang w:val="en-US" w:eastAsia="zh-CN"/>
        </w:rPr>
        <w:t>厉行节约的原则，严格压减</w:t>
      </w:r>
      <w:r>
        <w:rPr>
          <w:rFonts w:hint="eastAsia" w:ascii="仿宋_GB2312" w:eastAsia="仿宋_GB2312"/>
          <w:color w:val="auto"/>
          <w:sz w:val="32"/>
          <w:szCs w:val="32"/>
          <w:highlight w:val="none"/>
          <w:lang w:val="zh-CN" w:eastAsia="zh-CN"/>
        </w:rPr>
        <w:t>“三公”经费支出。其中：因公出国（境）费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0.00万元，决算数0.00万元，预决算差异率0.00%，主要原因是：严格按照预算执行，无差异；公务用车购置费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预算数0.00万元，决算数0.00万元，预决算差异率0.00%，主要原因是：严格按照预算执行，无差异；公务用车运行费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预算数8.38万元，决算数7.82万元，预决算差异率-6.68%，主要原因是：本着</w:t>
      </w:r>
      <w:r>
        <w:rPr>
          <w:rFonts w:hint="eastAsia" w:ascii="仿宋_GB2312" w:hAnsi="仿宋" w:eastAsia="仿宋_GB2312"/>
          <w:color w:val="auto"/>
          <w:sz w:val="32"/>
          <w:szCs w:val="32"/>
          <w:lang w:val="en-US" w:eastAsia="zh-CN"/>
        </w:rPr>
        <w:t>厉行节约的原则，严格压减支出</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预算数0.00万元，决算数0.00万元，预决算差异率0.00%，主要原因是：严格按照预算执行，无差异。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4" w:name="_Toc227"/>
      <w:bookmarkStart w:id="25" w:name="_Toc26704"/>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裕民县人民检察院（行政单位和参照公务员法管理事业单位）机关运行经费支出42.10万元，</w:t>
      </w:r>
      <w:r>
        <w:rPr>
          <w:rFonts w:hint="eastAsia" w:ascii="仿宋_GB2312" w:hAnsi="仿宋_GB2312" w:eastAsia="仿宋_GB2312" w:cs="仿宋_GB2312"/>
          <w:color w:val="auto"/>
          <w:sz w:val="32"/>
          <w:szCs w:val="32"/>
          <w:highlight w:val="none"/>
          <w:lang w:val="zh-CN" w:eastAsia="zh-CN"/>
        </w:rPr>
        <w:t>比上年减少3.65万元，下降7.98%，主要原因是：我院人均公用经费</w:t>
      </w:r>
      <w:r>
        <w:rPr>
          <w:rFonts w:hint="eastAsia" w:ascii="仿宋_GB2312" w:hAnsi="仿宋_GB2312" w:eastAsia="仿宋_GB2312" w:cs="仿宋_GB2312"/>
          <w:color w:val="auto"/>
          <w:sz w:val="32"/>
          <w:szCs w:val="32"/>
          <w:highlight w:val="none"/>
          <w:lang w:val="en-US" w:eastAsia="zh-CN"/>
        </w:rPr>
        <w:t>比例下调</w:t>
      </w:r>
      <w:r>
        <w:rPr>
          <w:rFonts w:hint="eastAsia" w:ascii="仿宋_GB2312" w:hAnsi="仿宋_GB2312"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9.03万元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其中：政府采购货物支出1.57万元、政府采购工程支出0.00万元、政府采购服务支出7.46万元。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授予中小企业合同金额8.32万元，占政府采购支出总额的92.14%，其中：授予小微企业合同金额4.17万元，占政府采购支出总额的46.18%</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黑体"/>
          <w:b w:val="0"/>
          <w:bCs w:val="0"/>
          <w:color w:val="auto"/>
          <w:sz w:val="32"/>
          <w:szCs w:val="30"/>
          <w:highlight w:val="none"/>
          <w:lang w:val="zh-CN" w:eastAsia="zh-CN"/>
        </w:rPr>
      </w:pPr>
      <w:bookmarkStart w:id="26" w:name="_Toc4591"/>
      <w:bookmarkStart w:id="27" w:name="_Toc8391"/>
      <w:r>
        <w:rPr>
          <w:rFonts w:hint="eastAsia" w:ascii="黑体" w:hAnsi="黑体" w:eastAsia="黑体" w:cs="黑体"/>
          <w:b w:val="0"/>
          <w:bCs w:val="0"/>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1,089.30</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屋3,918.60平方米，价值680.70万元。车辆4辆，价值94.24万元，其中：副部（省）级及以上领导用车0辆、主要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用车0辆、机要通信用车0辆、应急保障用车0辆、执法执勤用车3辆、特种专业技术用车0辆、离退休干部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用车0辆、其他用车1辆，其他用车主要是：公务用车；单价100万元（含）以上设备（不含车辆）0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eastAsia" w:ascii="仿宋_GB2312" w:eastAsia="仿宋_GB2312"/>
          <w:color w:val="auto"/>
          <w:sz w:val="32"/>
          <w:szCs w:val="32"/>
          <w:highlight w:val="none"/>
          <w:lang w:eastAsia="zh-CN"/>
        </w:rPr>
        <w:t>762.</w:t>
      </w:r>
      <w:r>
        <w:rPr>
          <w:rFonts w:hint="eastAsia" w:ascii="仿宋_GB2312" w:eastAsia="仿宋_GB2312"/>
          <w:color w:val="auto"/>
          <w:sz w:val="32"/>
          <w:szCs w:val="32"/>
          <w:highlight w:val="none"/>
          <w:lang w:val="en-US" w:eastAsia="zh-CN"/>
        </w:rPr>
        <w:t>06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eastAsia" w:ascii="仿宋_GB2312" w:eastAsia="仿宋_GB2312"/>
          <w:color w:val="auto"/>
          <w:sz w:val="32"/>
          <w:szCs w:val="32"/>
          <w:highlight w:val="none"/>
          <w:lang w:eastAsia="zh-CN"/>
        </w:rPr>
        <w:t>651.1</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全年预算数169.94</w:t>
      </w:r>
      <w:r>
        <w:rPr>
          <w:rFonts w:hint="eastAsia" w:ascii="仿宋_GB2312" w:eastAsia="仿宋_GB2312"/>
          <w:color w:val="auto"/>
          <w:sz w:val="32"/>
          <w:szCs w:val="32"/>
          <w:highlight w:val="none"/>
        </w:rPr>
        <w:t>万元。</w:t>
      </w:r>
      <w:r>
        <w:rPr>
          <w:rFonts w:hint="eastAsia" w:ascii="仿宋_GB2312" w:eastAsia="仿宋_GB2312"/>
          <w:color w:val="000000" w:themeColor="text1"/>
          <w:sz w:val="32"/>
          <w:szCs w:val="32"/>
          <w:highlight w:val="none"/>
          <w:lang w:val="en-US" w:eastAsia="zh-CN"/>
          <w14:textFill>
            <w14:solidFill>
              <w14:schemeClr w14:val="tx1"/>
            </w14:solidFill>
          </w14:textFill>
        </w:rPr>
        <w:t>全年执行数127.78</w:t>
      </w:r>
      <w:r>
        <w:rPr>
          <w:rFonts w:hint="eastAsia" w:ascii="仿宋_GB2312" w:eastAsia="仿宋_GB2312"/>
          <w:color w:val="000000" w:themeColor="text1"/>
          <w:sz w:val="32"/>
          <w:szCs w:val="32"/>
          <w:highlight w:val="none"/>
          <w14:textFill>
            <w14:solidFill>
              <w14:schemeClr w14:val="tx1"/>
            </w14:solidFill>
          </w14:textFill>
        </w:rPr>
        <w:t>万元</w:t>
      </w:r>
      <w:r>
        <w:rPr>
          <w:rFonts w:hint="eastAsia" w:ascii="仿宋_GB2312" w:eastAsia="仿宋_GB2312"/>
          <w:color w:val="000000" w:themeColor="text1"/>
          <w:sz w:val="32"/>
          <w:szCs w:val="32"/>
          <w:highlight w:val="none"/>
          <w:lang w:eastAsia="zh-CN"/>
          <w14:textFill>
            <w14:solidFill>
              <w14:schemeClr w14:val="tx1"/>
            </w14:solidFill>
          </w14:textFill>
        </w:rPr>
        <w:t>。预算绩效管理</w:t>
      </w:r>
      <w:r>
        <w:rPr>
          <w:rFonts w:hint="eastAsia" w:ascii="仿宋_GB2312" w:eastAsia="仿宋_GB2312"/>
          <w:color w:val="auto"/>
          <w:sz w:val="32"/>
          <w:szCs w:val="32"/>
          <w:highlight w:val="none"/>
          <w:lang w:eastAsia="zh-CN"/>
        </w:rPr>
        <w:t>取得的成效：</w:t>
      </w:r>
      <w:r>
        <w:rPr>
          <w:rFonts w:hint="eastAsia" w:ascii="仿宋_GB2312" w:eastAsia="仿宋_GB2312"/>
          <w:color w:val="auto"/>
          <w:sz w:val="32"/>
          <w:szCs w:val="32"/>
          <w:highlight w:val="none"/>
          <w:lang w:val="en-US" w:eastAsia="zh-CN"/>
        </w:rPr>
        <w:t>我单位预算绩效情况不予公开</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我单位预算绩效情况不予公开</w:t>
      </w:r>
      <w:r>
        <w:rPr>
          <w:rFonts w:hint="eastAsia" w:ascii="仿宋_GB2312" w:eastAsia="仿宋_GB2312"/>
          <w:color w:val="auto"/>
          <w:sz w:val="32"/>
          <w:szCs w:val="32"/>
          <w:highlight w:val="none"/>
          <w:lang w:eastAsia="zh-CN"/>
        </w:rPr>
        <w:t>。下一步改进措施：</w:t>
      </w:r>
      <w:bookmarkStart w:id="48" w:name="_GoBack"/>
      <w:bookmarkEnd w:id="48"/>
      <w:r>
        <w:rPr>
          <w:rFonts w:hint="eastAsia" w:ascii="仿宋_GB2312" w:eastAsia="仿宋_GB2312"/>
          <w:color w:val="auto"/>
          <w:sz w:val="32"/>
          <w:szCs w:val="32"/>
          <w:highlight w:val="none"/>
          <w:lang w:val="en-US" w:eastAsia="zh-CN"/>
        </w:rPr>
        <w:t>我单位预算绩效情况不予公开</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pageBreakBefore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b/>
          <w:bCs/>
          <w:color w:val="auto"/>
          <w:kern w:val="0"/>
          <w:sz w:val="32"/>
          <w:szCs w:val="32"/>
          <w:highlight w:val="none"/>
          <w:lang w:val="en-US" w:eastAsia="zh-Hans"/>
        </w:rPr>
      </w:pPr>
      <w:bookmarkStart w:id="30" w:name="_Toc3250"/>
      <w:bookmarkStart w:id="31" w:name="_Toc24143"/>
      <w:r>
        <w:rPr>
          <w:rStyle w:val="13"/>
          <w:rFonts w:hint="eastAsia" w:ascii="仿宋_GB2312" w:hAnsi="仿宋_GB2312" w:eastAsia="仿宋_GB2312" w:cs="仿宋_GB2312"/>
          <w:b w:val="0"/>
          <w:color w:val="auto"/>
          <w:sz w:val="32"/>
          <w:szCs w:val="32"/>
          <w:highlight w:val="none"/>
          <w:lang w:val="en-US" w:eastAsia="zh-CN" w:bidi="ar"/>
        </w:rPr>
        <w:t>本单位sm项目3个，涉及金额127.78万元。</w:t>
      </w:r>
    </w:p>
    <w:p>
      <w:pPr>
        <w:widowControl/>
        <w:spacing w:line="520" w:lineRule="exact"/>
        <w:ind w:firstLine="640" w:firstLineChars="200"/>
        <w:jc w:val="left"/>
        <w:rPr>
          <w:rFonts w:hint="eastAsia" w:ascii="黑体" w:hAnsi="黑体" w:eastAsia="黑体"/>
          <w:color w:val="auto"/>
          <w:sz w:val="32"/>
          <w:szCs w:val="32"/>
          <w:highlight w:val="none"/>
        </w:rPr>
      </w:pP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abstractNum w:abstractNumId="1">
    <w:nsid w:val="3F3860A1"/>
    <w:multiLevelType w:val="singleLevel"/>
    <w:tmpl w:val="3F3860A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jMGM4YTNmZTY1NDFjMWFjNmVmZmU0NDA2ZTk0ZmMifQ=="/>
    <w:docVar w:name="KSO_WPS_MARK_KEY" w:val="41ee2a61-2d54-4f93-83be-afdb9a40d732"/>
  </w:docVars>
  <w:rsids>
    <w:rsidRoot w:val="00000000"/>
    <w:rsid w:val="00213C59"/>
    <w:rsid w:val="003210CE"/>
    <w:rsid w:val="00780826"/>
    <w:rsid w:val="00B70D59"/>
    <w:rsid w:val="00B746ED"/>
    <w:rsid w:val="00F52A8D"/>
    <w:rsid w:val="01522003"/>
    <w:rsid w:val="0167606D"/>
    <w:rsid w:val="019404F8"/>
    <w:rsid w:val="01E02411"/>
    <w:rsid w:val="01E919E8"/>
    <w:rsid w:val="01ED22F2"/>
    <w:rsid w:val="027A1806"/>
    <w:rsid w:val="02BD3108"/>
    <w:rsid w:val="02F73D26"/>
    <w:rsid w:val="034D4FEF"/>
    <w:rsid w:val="035D1785"/>
    <w:rsid w:val="039F47CE"/>
    <w:rsid w:val="03B52092"/>
    <w:rsid w:val="03BD5310"/>
    <w:rsid w:val="03E05CE8"/>
    <w:rsid w:val="03F973EE"/>
    <w:rsid w:val="043E5B56"/>
    <w:rsid w:val="04687807"/>
    <w:rsid w:val="04C04386"/>
    <w:rsid w:val="04D1736D"/>
    <w:rsid w:val="04D96608"/>
    <w:rsid w:val="04EC1B80"/>
    <w:rsid w:val="04F210E4"/>
    <w:rsid w:val="04FA68C4"/>
    <w:rsid w:val="053F5AE6"/>
    <w:rsid w:val="057C0B0F"/>
    <w:rsid w:val="05EE1C5B"/>
    <w:rsid w:val="05EF4B48"/>
    <w:rsid w:val="05F76ECA"/>
    <w:rsid w:val="060A5470"/>
    <w:rsid w:val="06792773"/>
    <w:rsid w:val="06A76DF0"/>
    <w:rsid w:val="06FD75CA"/>
    <w:rsid w:val="07093795"/>
    <w:rsid w:val="07804730"/>
    <w:rsid w:val="078955D9"/>
    <w:rsid w:val="079052BE"/>
    <w:rsid w:val="08145C21"/>
    <w:rsid w:val="08422688"/>
    <w:rsid w:val="085854ED"/>
    <w:rsid w:val="0879188F"/>
    <w:rsid w:val="08A0354D"/>
    <w:rsid w:val="08CD4C49"/>
    <w:rsid w:val="09114954"/>
    <w:rsid w:val="095A5B83"/>
    <w:rsid w:val="096466E3"/>
    <w:rsid w:val="0968304D"/>
    <w:rsid w:val="09AF1F7A"/>
    <w:rsid w:val="09AF3D17"/>
    <w:rsid w:val="0A7809B7"/>
    <w:rsid w:val="0A7B4867"/>
    <w:rsid w:val="0A840954"/>
    <w:rsid w:val="0A9928ED"/>
    <w:rsid w:val="0B0047D1"/>
    <w:rsid w:val="0B61769D"/>
    <w:rsid w:val="0B8C3ECC"/>
    <w:rsid w:val="0B8E3599"/>
    <w:rsid w:val="0B9C639D"/>
    <w:rsid w:val="0BB052B2"/>
    <w:rsid w:val="0BD33FFC"/>
    <w:rsid w:val="0BE97AC1"/>
    <w:rsid w:val="0C1C4780"/>
    <w:rsid w:val="0C3613A3"/>
    <w:rsid w:val="0C5E519C"/>
    <w:rsid w:val="0C7227A7"/>
    <w:rsid w:val="0C9D2169"/>
    <w:rsid w:val="0CA52EE8"/>
    <w:rsid w:val="0CBD6988"/>
    <w:rsid w:val="0CD208AC"/>
    <w:rsid w:val="0CF15B71"/>
    <w:rsid w:val="0D172DAA"/>
    <w:rsid w:val="0D4903E8"/>
    <w:rsid w:val="0D7A4A46"/>
    <w:rsid w:val="0E002628"/>
    <w:rsid w:val="0E640559"/>
    <w:rsid w:val="0F0879A3"/>
    <w:rsid w:val="0F1113DA"/>
    <w:rsid w:val="0F78534A"/>
    <w:rsid w:val="0F89358A"/>
    <w:rsid w:val="0F8C6D51"/>
    <w:rsid w:val="0FEC0179"/>
    <w:rsid w:val="105B0B5E"/>
    <w:rsid w:val="11292E3E"/>
    <w:rsid w:val="112E58D0"/>
    <w:rsid w:val="11731CAC"/>
    <w:rsid w:val="11923977"/>
    <w:rsid w:val="119500A0"/>
    <w:rsid w:val="11C0733B"/>
    <w:rsid w:val="11C074F2"/>
    <w:rsid w:val="11D50D17"/>
    <w:rsid w:val="120E0809"/>
    <w:rsid w:val="1235410E"/>
    <w:rsid w:val="127F665A"/>
    <w:rsid w:val="12F7068C"/>
    <w:rsid w:val="132B33F9"/>
    <w:rsid w:val="14207DC0"/>
    <w:rsid w:val="14B932DA"/>
    <w:rsid w:val="150A66AF"/>
    <w:rsid w:val="151955E9"/>
    <w:rsid w:val="154C1139"/>
    <w:rsid w:val="15785021"/>
    <w:rsid w:val="158C5B77"/>
    <w:rsid w:val="15F15F09"/>
    <w:rsid w:val="160D1149"/>
    <w:rsid w:val="163563C0"/>
    <w:rsid w:val="164315EF"/>
    <w:rsid w:val="16557DFE"/>
    <w:rsid w:val="167268FB"/>
    <w:rsid w:val="16770D0A"/>
    <w:rsid w:val="169A0039"/>
    <w:rsid w:val="16D50C50"/>
    <w:rsid w:val="16E120E1"/>
    <w:rsid w:val="17095037"/>
    <w:rsid w:val="17385A05"/>
    <w:rsid w:val="173B3901"/>
    <w:rsid w:val="173F1B28"/>
    <w:rsid w:val="176747F9"/>
    <w:rsid w:val="17954A6E"/>
    <w:rsid w:val="17BE2C86"/>
    <w:rsid w:val="180059E9"/>
    <w:rsid w:val="1816701C"/>
    <w:rsid w:val="18350E60"/>
    <w:rsid w:val="184510FD"/>
    <w:rsid w:val="18906B4F"/>
    <w:rsid w:val="190648B0"/>
    <w:rsid w:val="19071D6C"/>
    <w:rsid w:val="19387B3A"/>
    <w:rsid w:val="19821B5F"/>
    <w:rsid w:val="1983633D"/>
    <w:rsid w:val="199A05C0"/>
    <w:rsid w:val="19D26CD4"/>
    <w:rsid w:val="19E60D19"/>
    <w:rsid w:val="1A3E3450"/>
    <w:rsid w:val="1A9F45B3"/>
    <w:rsid w:val="1AA60750"/>
    <w:rsid w:val="1AD807E5"/>
    <w:rsid w:val="1B39345B"/>
    <w:rsid w:val="1BD91201"/>
    <w:rsid w:val="1BFB2A1F"/>
    <w:rsid w:val="1C015D4A"/>
    <w:rsid w:val="1C290ED5"/>
    <w:rsid w:val="1C317E4F"/>
    <w:rsid w:val="1C472464"/>
    <w:rsid w:val="1D094420"/>
    <w:rsid w:val="1D22799A"/>
    <w:rsid w:val="1D5C1A72"/>
    <w:rsid w:val="1DAF458D"/>
    <w:rsid w:val="1E086ACE"/>
    <w:rsid w:val="1E557911"/>
    <w:rsid w:val="1E62130A"/>
    <w:rsid w:val="1E97358B"/>
    <w:rsid w:val="1EA308B3"/>
    <w:rsid w:val="1EAA4A5F"/>
    <w:rsid w:val="1EE869A7"/>
    <w:rsid w:val="1F3F37CF"/>
    <w:rsid w:val="1F956F8D"/>
    <w:rsid w:val="1F972CB1"/>
    <w:rsid w:val="1FA15E62"/>
    <w:rsid w:val="1FED69B6"/>
    <w:rsid w:val="2064678E"/>
    <w:rsid w:val="20661C04"/>
    <w:rsid w:val="206E2250"/>
    <w:rsid w:val="20DC1AB9"/>
    <w:rsid w:val="20DD6197"/>
    <w:rsid w:val="212631E0"/>
    <w:rsid w:val="2138666F"/>
    <w:rsid w:val="21742080"/>
    <w:rsid w:val="21A53757"/>
    <w:rsid w:val="21F879E1"/>
    <w:rsid w:val="221236C6"/>
    <w:rsid w:val="22196184"/>
    <w:rsid w:val="22A76CFD"/>
    <w:rsid w:val="22D7662C"/>
    <w:rsid w:val="23326B7F"/>
    <w:rsid w:val="234D0309"/>
    <w:rsid w:val="2380045B"/>
    <w:rsid w:val="23BC04D2"/>
    <w:rsid w:val="23EF1892"/>
    <w:rsid w:val="24740097"/>
    <w:rsid w:val="2483647E"/>
    <w:rsid w:val="24A32D55"/>
    <w:rsid w:val="24CE6D9A"/>
    <w:rsid w:val="25292727"/>
    <w:rsid w:val="252E5CA9"/>
    <w:rsid w:val="256F7692"/>
    <w:rsid w:val="25BA2154"/>
    <w:rsid w:val="25C8773F"/>
    <w:rsid w:val="26144B29"/>
    <w:rsid w:val="26235823"/>
    <w:rsid w:val="262A4461"/>
    <w:rsid w:val="264411BC"/>
    <w:rsid w:val="264A7253"/>
    <w:rsid w:val="26F0170C"/>
    <w:rsid w:val="26FE3B9A"/>
    <w:rsid w:val="27201D62"/>
    <w:rsid w:val="27286E73"/>
    <w:rsid w:val="27CF2642"/>
    <w:rsid w:val="27E777F5"/>
    <w:rsid w:val="27EA1D4C"/>
    <w:rsid w:val="27EA2E41"/>
    <w:rsid w:val="27F77820"/>
    <w:rsid w:val="280B32EA"/>
    <w:rsid w:val="282459E2"/>
    <w:rsid w:val="28284BED"/>
    <w:rsid w:val="283A7FE5"/>
    <w:rsid w:val="283C2ED6"/>
    <w:rsid w:val="285F51FF"/>
    <w:rsid w:val="28DA4193"/>
    <w:rsid w:val="28DF2665"/>
    <w:rsid w:val="28EE0C8A"/>
    <w:rsid w:val="29072599"/>
    <w:rsid w:val="291029F3"/>
    <w:rsid w:val="29A60818"/>
    <w:rsid w:val="29CB58F0"/>
    <w:rsid w:val="29EC14CC"/>
    <w:rsid w:val="2A053397"/>
    <w:rsid w:val="2A145E96"/>
    <w:rsid w:val="2A2131BB"/>
    <w:rsid w:val="2A244207"/>
    <w:rsid w:val="2A8A1948"/>
    <w:rsid w:val="2AF5378F"/>
    <w:rsid w:val="2B0F23BE"/>
    <w:rsid w:val="2B6E70D2"/>
    <w:rsid w:val="2BB94DBF"/>
    <w:rsid w:val="2BF37410"/>
    <w:rsid w:val="2C6F314E"/>
    <w:rsid w:val="2CC206BE"/>
    <w:rsid w:val="2D1136DF"/>
    <w:rsid w:val="2D20606D"/>
    <w:rsid w:val="2D2F120D"/>
    <w:rsid w:val="2D6729FE"/>
    <w:rsid w:val="2DB87198"/>
    <w:rsid w:val="2DB93C54"/>
    <w:rsid w:val="2E28408C"/>
    <w:rsid w:val="2E3D144C"/>
    <w:rsid w:val="2E891204"/>
    <w:rsid w:val="2E893385"/>
    <w:rsid w:val="2F3F0A28"/>
    <w:rsid w:val="2F4C114E"/>
    <w:rsid w:val="2FBF5F84"/>
    <w:rsid w:val="2FBF7029"/>
    <w:rsid w:val="2FD0187F"/>
    <w:rsid w:val="2FD27414"/>
    <w:rsid w:val="2FFE4BB0"/>
    <w:rsid w:val="300E7B60"/>
    <w:rsid w:val="300F6E18"/>
    <w:rsid w:val="30560ED2"/>
    <w:rsid w:val="30862F5F"/>
    <w:rsid w:val="30A4775A"/>
    <w:rsid w:val="314029C9"/>
    <w:rsid w:val="31C2357B"/>
    <w:rsid w:val="31C63837"/>
    <w:rsid w:val="31C82E39"/>
    <w:rsid w:val="32116459"/>
    <w:rsid w:val="32601BAD"/>
    <w:rsid w:val="329F6389"/>
    <w:rsid w:val="3389023A"/>
    <w:rsid w:val="338937D8"/>
    <w:rsid w:val="33CB74FA"/>
    <w:rsid w:val="33F66E31"/>
    <w:rsid w:val="340A7FC7"/>
    <w:rsid w:val="343642F2"/>
    <w:rsid w:val="343F3010"/>
    <w:rsid w:val="34433477"/>
    <w:rsid w:val="34504539"/>
    <w:rsid w:val="345D0A00"/>
    <w:rsid w:val="34713BFD"/>
    <w:rsid w:val="347B1CFF"/>
    <w:rsid w:val="34C13589"/>
    <w:rsid w:val="34F846DF"/>
    <w:rsid w:val="35005C9B"/>
    <w:rsid w:val="351268F1"/>
    <w:rsid w:val="353369E3"/>
    <w:rsid w:val="35367628"/>
    <w:rsid w:val="35B21E0B"/>
    <w:rsid w:val="35E00D72"/>
    <w:rsid w:val="361C63CE"/>
    <w:rsid w:val="363E7F2A"/>
    <w:rsid w:val="36965B9D"/>
    <w:rsid w:val="36BB40C3"/>
    <w:rsid w:val="36C549FD"/>
    <w:rsid w:val="36D36E39"/>
    <w:rsid w:val="37A73FF4"/>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206B57"/>
    <w:rsid w:val="3A3C3DAA"/>
    <w:rsid w:val="3A893816"/>
    <w:rsid w:val="3A893B6D"/>
    <w:rsid w:val="3A8E5776"/>
    <w:rsid w:val="3AD1763A"/>
    <w:rsid w:val="3B196883"/>
    <w:rsid w:val="3B495786"/>
    <w:rsid w:val="3B6716E3"/>
    <w:rsid w:val="3B6C6B2D"/>
    <w:rsid w:val="3B711BF3"/>
    <w:rsid w:val="3BB977C0"/>
    <w:rsid w:val="3C242659"/>
    <w:rsid w:val="3C6F6D69"/>
    <w:rsid w:val="3C96719C"/>
    <w:rsid w:val="3CA72BE8"/>
    <w:rsid w:val="3CDC1E1E"/>
    <w:rsid w:val="3CF37F8C"/>
    <w:rsid w:val="3D137554"/>
    <w:rsid w:val="3D1A1326"/>
    <w:rsid w:val="3D5275AC"/>
    <w:rsid w:val="3DCC2473"/>
    <w:rsid w:val="3DEB0883"/>
    <w:rsid w:val="3E2527BF"/>
    <w:rsid w:val="3E4074CB"/>
    <w:rsid w:val="3E5809A3"/>
    <w:rsid w:val="3E70484C"/>
    <w:rsid w:val="3E731662"/>
    <w:rsid w:val="3E8168DD"/>
    <w:rsid w:val="3EA7725F"/>
    <w:rsid w:val="3EAE2A43"/>
    <w:rsid w:val="3EB03713"/>
    <w:rsid w:val="3EBF1A11"/>
    <w:rsid w:val="3EC52607"/>
    <w:rsid w:val="3EEC6CEF"/>
    <w:rsid w:val="3F183429"/>
    <w:rsid w:val="3F445428"/>
    <w:rsid w:val="3F664DC4"/>
    <w:rsid w:val="3FB77A1D"/>
    <w:rsid w:val="3FDC3674"/>
    <w:rsid w:val="3FED7F8A"/>
    <w:rsid w:val="3FF232CA"/>
    <w:rsid w:val="40094AEF"/>
    <w:rsid w:val="405470BD"/>
    <w:rsid w:val="40794A29"/>
    <w:rsid w:val="40834692"/>
    <w:rsid w:val="41431AD5"/>
    <w:rsid w:val="414B3C0F"/>
    <w:rsid w:val="417C1CE7"/>
    <w:rsid w:val="41900018"/>
    <w:rsid w:val="41944406"/>
    <w:rsid w:val="41CE128F"/>
    <w:rsid w:val="41DA6F12"/>
    <w:rsid w:val="42171FB1"/>
    <w:rsid w:val="422B288E"/>
    <w:rsid w:val="429F5E7C"/>
    <w:rsid w:val="42C10D7B"/>
    <w:rsid w:val="434E6957"/>
    <w:rsid w:val="43890AB6"/>
    <w:rsid w:val="43BA0E31"/>
    <w:rsid w:val="43C15147"/>
    <w:rsid w:val="43E14DD2"/>
    <w:rsid w:val="43F800E9"/>
    <w:rsid w:val="443A7E4B"/>
    <w:rsid w:val="444A7D08"/>
    <w:rsid w:val="446D0533"/>
    <w:rsid w:val="448C6E63"/>
    <w:rsid w:val="452F5B3A"/>
    <w:rsid w:val="454E7FD2"/>
    <w:rsid w:val="46061BDC"/>
    <w:rsid w:val="461404F8"/>
    <w:rsid w:val="46413018"/>
    <w:rsid w:val="464B7E04"/>
    <w:rsid w:val="468041AA"/>
    <w:rsid w:val="468123C6"/>
    <w:rsid w:val="468B67B4"/>
    <w:rsid w:val="46901EEE"/>
    <w:rsid w:val="469C74D2"/>
    <w:rsid w:val="46AB6C0A"/>
    <w:rsid w:val="46FA7B0B"/>
    <w:rsid w:val="47445515"/>
    <w:rsid w:val="474B4782"/>
    <w:rsid w:val="47D90D14"/>
    <w:rsid w:val="47DE1152"/>
    <w:rsid w:val="48387FB0"/>
    <w:rsid w:val="483A6114"/>
    <w:rsid w:val="485506A1"/>
    <w:rsid w:val="488727DB"/>
    <w:rsid w:val="488B221C"/>
    <w:rsid w:val="48B82268"/>
    <w:rsid w:val="48C354B3"/>
    <w:rsid w:val="49026F20"/>
    <w:rsid w:val="493D58B5"/>
    <w:rsid w:val="494A7A04"/>
    <w:rsid w:val="49570DA8"/>
    <w:rsid w:val="49605EF7"/>
    <w:rsid w:val="499271FA"/>
    <w:rsid w:val="4A0A26D2"/>
    <w:rsid w:val="4A1F11F2"/>
    <w:rsid w:val="4A2019A5"/>
    <w:rsid w:val="4A241A0B"/>
    <w:rsid w:val="4A2E5057"/>
    <w:rsid w:val="4A5C2BD7"/>
    <w:rsid w:val="4A646AE1"/>
    <w:rsid w:val="4A7B2875"/>
    <w:rsid w:val="4A934476"/>
    <w:rsid w:val="4AA023C5"/>
    <w:rsid w:val="4AAA220A"/>
    <w:rsid w:val="4AC01578"/>
    <w:rsid w:val="4AE12E67"/>
    <w:rsid w:val="4AEC69C0"/>
    <w:rsid w:val="4AF62EF2"/>
    <w:rsid w:val="4B47645B"/>
    <w:rsid w:val="4B4C0111"/>
    <w:rsid w:val="4B8553A9"/>
    <w:rsid w:val="4BC51B21"/>
    <w:rsid w:val="4BDB3730"/>
    <w:rsid w:val="4C0B1DE8"/>
    <w:rsid w:val="4C200F7A"/>
    <w:rsid w:val="4C56589F"/>
    <w:rsid w:val="4CEE3180"/>
    <w:rsid w:val="4D0F4AF6"/>
    <w:rsid w:val="4D1378EC"/>
    <w:rsid w:val="4D2B4E75"/>
    <w:rsid w:val="4DF94F37"/>
    <w:rsid w:val="4E0A1DD5"/>
    <w:rsid w:val="4E3160E5"/>
    <w:rsid w:val="4E4D37AF"/>
    <w:rsid w:val="4E783272"/>
    <w:rsid w:val="4E8C6496"/>
    <w:rsid w:val="4EB66649"/>
    <w:rsid w:val="4EFD18DE"/>
    <w:rsid w:val="4F144236"/>
    <w:rsid w:val="4F663C87"/>
    <w:rsid w:val="4F7E29A8"/>
    <w:rsid w:val="4F943C11"/>
    <w:rsid w:val="4F9E1FFC"/>
    <w:rsid w:val="503D1DC8"/>
    <w:rsid w:val="50447CC2"/>
    <w:rsid w:val="50874A7C"/>
    <w:rsid w:val="50895EE7"/>
    <w:rsid w:val="50921B9D"/>
    <w:rsid w:val="50D16158"/>
    <w:rsid w:val="50DB5F45"/>
    <w:rsid w:val="50E21EA9"/>
    <w:rsid w:val="51025EB1"/>
    <w:rsid w:val="51141503"/>
    <w:rsid w:val="5123770A"/>
    <w:rsid w:val="513C450E"/>
    <w:rsid w:val="518D0ED5"/>
    <w:rsid w:val="523A6331"/>
    <w:rsid w:val="525C687F"/>
    <w:rsid w:val="52680687"/>
    <w:rsid w:val="52A3740A"/>
    <w:rsid w:val="52E662C4"/>
    <w:rsid w:val="52F647F7"/>
    <w:rsid w:val="52F92565"/>
    <w:rsid w:val="53AE735E"/>
    <w:rsid w:val="53D03877"/>
    <w:rsid w:val="542F73CA"/>
    <w:rsid w:val="5430786D"/>
    <w:rsid w:val="545A1D2A"/>
    <w:rsid w:val="54C811C0"/>
    <w:rsid w:val="54E8530E"/>
    <w:rsid w:val="55370BDF"/>
    <w:rsid w:val="556A442D"/>
    <w:rsid w:val="55DA564E"/>
    <w:rsid w:val="55E816A3"/>
    <w:rsid w:val="55FB3FA5"/>
    <w:rsid w:val="5604127D"/>
    <w:rsid w:val="56044E6C"/>
    <w:rsid w:val="56166703"/>
    <w:rsid w:val="56510474"/>
    <w:rsid w:val="56861525"/>
    <w:rsid w:val="56A93273"/>
    <w:rsid w:val="56AC67FC"/>
    <w:rsid w:val="56AD2D63"/>
    <w:rsid w:val="56B25A78"/>
    <w:rsid w:val="56BD550C"/>
    <w:rsid w:val="56DA5FCF"/>
    <w:rsid w:val="56E07045"/>
    <w:rsid w:val="56FF28AF"/>
    <w:rsid w:val="5747441F"/>
    <w:rsid w:val="57540E7D"/>
    <w:rsid w:val="57565FC1"/>
    <w:rsid w:val="577B4878"/>
    <w:rsid w:val="57926973"/>
    <w:rsid w:val="57D1482F"/>
    <w:rsid w:val="58175352"/>
    <w:rsid w:val="581F2200"/>
    <w:rsid w:val="583059FA"/>
    <w:rsid w:val="583E0671"/>
    <w:rsid w:val="584A0929"/>
    <w:rsid w:val="586D519F"/>
    <w:rsid w:val="58CD2491"/>
    <w:rsid w:val="591B41B2"/>
    <w:rsid w:val="59254A26"/>
    <w:rsid w:val="59326325"/>
    <w:rsid w:val="595C505B"/>
    <w:rsid w:val="595E55C3"/>
    <w:rsid w:val="596E7E20"/>
    <w:rsid w:val="5A164F49"/>
    <w:rsid w:val="5A4C7209"/>
    <w:rsid w:val="5A5D23AA"/>
    <w:rsid w:val="5A60780B"/>
    <w:rsid w:val="5AB34579"/>
    <w:rsid w:val="5AB40E78"/>
    <w:rsid w:val="5ABE483C"/>
    <w:rsid w:val="5AFC6609"/>
    <w:rsid w:val="5B113480"/>
    <w:rsid w:val="5B115B53"/>
    <w:rsid w:val="5BD456CE"/>
    <w:rsid w:val="5C0D1F49"/>
    <w:rsid w:val="5C3D1651"/>
    <w:rsid w:val="5CBB0CE2"/>
    <w:rsid w:val="5CC17177"/>
    <w:rsid w:val="5CD92983"/>
    <w:rsid w:val="5CE27960"/>
    <w:rsid w:val="5CF306BC"/>
    <w:rsid w:val="5D3F3D64"/>
    <w:rsid w:val="5D833043"/>
    <w:rsid w:val="5D9A033D"/>
    <w:rsid w:val="5DD92690"/>
    <w:rsid w:val="5DDB1CFD"/>
    <w:rsid w:val="5DF207CC"/>
    <w:rsid w:val="5E733C74"/>
    <w:rsid w:val="5E7E6D93"/>
    <w:rsid w:val="5ED233BC"/>
    <w:rsid w:val="5ED44800"/>
    <w:rsid w:val="5F350BDE"/>
    <w:rsid w:val="5F61632C"/>
    <w:rsid w:val="5FA17648"/>
    <w:rsid w:val="5FE705CB"/>
    <w:rsid w:val="5FFC52AC"/>
    <w:rsid w:val="6007714E"/>
    <w:rsid w:val="603D5080"/>
    <w:rsid w:val="606842D0"/>
    <w:rsid w:val="60D0261B"/>
    <w:rsid w:val="60F6286E"/>
    <w:rsid w:val="618E3791"/>
    <w:rsid w:val="61947DCA"/>
    <w:rsid w:val="61A46A97"/>
    <w:rsid w:val="61D1382F"/>
    <w:rsid w:val="61E134E1"/>
    <w:rsid w:val="61E653CC"/>
    <w:rsid w:val="61F114A2"/>
    <w:rsid w:val="622B0ABA"/>
    <w:rsid w:val="62512BB4"/>
    <w:rsid w:val="625D7D1A"/>
    <w:rsid w:val="62660469"/>
    <w:rsid w:val="6282585B"/>
    <w:rsid w:val="62A77B88"/>
    <w:rsid w:val="62DD7D21"/>
    <w:rsid w:val="637D586B"/>
    <w:rsid w:val="63A5560B"/>
    <w:rsid w:val="63E9091F"/>
    <w:rsid w:val="64322AF9"/>
    <w:rsid w:val="64D6010D"/>
    <w:rsid w:val="64D82665"/>
    <w:rsid w:val="64E47C96"/>
    <w:rsid w:val="651E5741"/>
    <w:rsid w:val="65223812"/>
    <w:rsid w:val="65456EF1"/>
    <w:rsid w:val="655D7702"/>
    <w:rsid w:val="658A4877"/>
    <w:rsid w:val="65A00902"/>
    <w:rsid w:val="65AC6EDD"/>
    <w:rsid w:val="65D97752"/>
    <w:rsid w:val="66085536"/>
    <w:rsid w:val="66105BF7"/>
    <w:rsid w:val="66150023"/>
    <w:rsid w:val="6628010D"/>
    <w:rsid w:val="664C032F"/>
    <w:rsid w:val="669B4528"/>
    <w:rsid w:val="66CC12D7"/>
    <w:rsid w:val="67134CEF"/>
    <w:rsid w:val="671F1ABD"/>
    <w:rsid w:val="67521A59"/>
    <w:rsid w:val="67C2502D"/>
    <w:rsid w:val="67C304AB"/>
    <w:rsid w:val="683F0658"/>
    <w:rsid w:val="68832CDC"/>
    <w:rsid w:val="689C6793"/>
    <w:rsid w:val="68B605F7"/>
    <w:rsid w:val="68C94A2F"/>
    <w:rsid w:val="68DB0208"/>
    <w:rsid w:val="68FB170C"/>
    <w:rsid w:val="691B3D98"/>
    <w:rsid w:val="692D77BD"/>
    <w:rsid w:val="693748F0"/>
    <w:rsid w:val="693C74CE"/>
    <w:rsid w:val="697E2FD2"/>
    <w:rsid w:val="69846A0E"/>
    <w:rsid w:val="69A1140D"/>
    <w:rsid w:val="69AA1366"/>
    <w:rsid w:val="69AD798C"/>
    <w:rsid w:val="69D005C0"/>
    <w:rsid w:val="69D80B96"/>
    <w:rsid w:val="69F47AD7"/>
    <w:rsid w:val="6A2C39D4"/>
    <w:rsid w:val="6A6528E5"/>
    <w:rsid w:val="6B68175F"/>
    <w:rsid w:val="6B7142FF"/>
    <w:rsid w:val="6BFD799F"/>
    <w:rsid w:val="6C4A2E5A"/>
    <w:rsid w:val="6C8138D0"/>
    <w:rsid w:val="6CB24D1D"/>
    <w:rsid w:val="6CEF0725"/>
    <w:rsid w:val="6D4B2604"/>
    <w:rsid w:val="6D8030E4"/>
    <w:rsid w:val="6E0E35C4"/>
    <w:rsid w:val="6E0F7A08"/>
    <w:rsid w:val="6E3947F5"/>
    <w:rsid w:val="6E6733A0"/>
    <w:rsid w:val="6E6E3938"/>
    <w:rsid w:val="6E9C74ED"/>
    <w:rsid w:val="6EAE05AE"/>
    <w:rsid w:val="6EF72976"/>
    <w:rsid w:val="6F5D6C07"/>
    <w:rsid w:val="6F75524C"/>
    <w:rsid w:val="6F795A80"/>
    <w:rsid w:val="6F7C1D2E"/>
    <w:rsid w:val="6F8E0407"/>
    <w:rsid w:val="6FDD069F"/>
    <w:rsid w:val="70042D11"/>
    <w:rsid w:val="702B4D16"/>
    <w:rsid w:val="705B3C48"/>
    <w:rsid w:val="70AA6621"/>
    <w:rsid w:val="7111480F"/>
    <w:rsid w:val="71261F49"/>
    <w:rsid w:val="712E6956"/>
    <w:rsid w:val="71473612"/>
    <w:rsid w:val="71504F32"/>
    <w:rsid w:val="7152309F"/>
    <w:rsid w:val="717B182A"/>
    <w:rsid w:val="718F7F65"/>
    <w:rsid w:val="71DA6992"/>
    <w:rsid w:val="727B234E"/>
    <w:rsid w:val="72B81156"/>
    <w:rsid w:val="72D068C7"/>
    <w:rsid w:val="72E42ED8"/>
    <w:rsid w:val="72F51CC6"/>
    <w:rsid w:val="72FC34C3"/>
    <w:rsid w:val="735F4CB9"/>
    <w:rsid w:val="73674C62"/>
    <w:rsid w:val="73845865"/>
    <w:rsid w:val="739B6D9E"/>
    <w:rsid w:val="73A701B9"/>
    <w:rsid w:val="73BC1D76"/>
    <w:rsid w:val="73FB6630"/>
    <w:rsid w:val="746F4282"/>
    <w:rsid w:val="748D790E"/>
    <w:rsid w:val="749820CC"/>
    <w:rsid w:val="74CE04EC"/>
    <w:rsid w:val="74E76DCD"/>
    <w:rsid w:val="751D7C0A"/>
    <w:rsid w:val="7520369B"/>
    <w:rsid w:val="75722D56"/>
    <w:rsid w:val="75DB5477"/>
    <w:rsid w:val="75F4276D"/>
    <w:rsid w:val="75FC6AC3"/>
    <w:rsid w:val="7616619B"/>
    <w:rsid w:val="76660D7C"/>
    <w:rsid w:val="766C5968"/>
    <w:rsid w:val="76BE0C8F"/>
    <w:rsid w:val="76C65FA9"/>
    <w:rsid w:val="76CD53B2"/>
    <w:rsid w:val="76E6594C"/>
    <w:rsid w:val="770719AC"/>
    <w:rsid w:val="77410A47"/>
    <w:rsid w:val="776526CC"/>
    <w:rsid w:val="77A262E1"/>
    <w:rsid w:val="77B13C33"/>
    <w:rsid w:val="77DC095A"/>
    <w:rsid w:val="77ED6F44"/>
    <w:rsid w:val="77F45548"/>
    <w:rsid w:val="77FC440B"/>
    <w:rsid w:val="784E7CA6"/>
    <w:rsid w:val="78574801"/>
    <w:rsid w:val="7873527F"/>
    <w:rsid w:val="78F5696E"/>
    <w:rsid w:val="790A6425"/>
    <w:rsid w:val="790E2D96"/>
    <w:rsid w:val="791B54B2"/>
    <w:rsid w:val="793C0F89"/>
    <w:rsid w:val="795A0A34"/>
    <w:rsid w:val="797339C3"/>
    <w:rsid w:val="79AA31AB"/>
    <w:rsid w:val="79D57D57"/>
    <w:rsid w:val="79E43C46"/>
    <w:rsid w:val="79F00650"/>
    <w:rsid w:val="7A267A0C"/>
    <w:rsid w:val="7A6242BF"/>
    <w:rsid w:val="7A794513"/>
    <w:rsid w:val="7A9800E7"/>
    <w:rsid w:val="7A9B3811"/>
    <w:rsid w:val="7AB467DA"/>
    <w:rsid w:val="7AB9318D"/>
    <w:rsid w:val="7AE952D2"/>
    <w:rsid w:val="7B655021"/>
    <w:rsid w:val="7BB607FE"/>
    <w:rsid w:val="7C313DAE"/>
    <w:rsid w:val="7C7248A0"/>
    <w:rsid w:val="7C8E1B2A"/>
    <w:rsid w:val="7C976D69"/>
    <w:rsid w:val="7CB26CDB"/>
    <w:rsid w:val="7CD752DA"/>
    <w:rsid w:val="7CDE40AB"/>
    <w:rsid w:val="7CF057E2"/>
    <w:rsid w:val="7D1548B5"/>
    <w:rsid w:val="7DF84014"/>
    <w:rsid w:val="7E207949"/>
    <w:rsid w:val="7E5778DE"/>
    <w:rsid w:val="7E5C0A47"/>
    <w:rsid w:val="7E670C75"/>
    <w:rsid w:val="7EE24272"/>
    <w:rsid w:val="7EEA6053"/>
    <w:rsid w:val="7F487C04"/>
    <w:rsid w:val="7F611CBA"/>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99"/>
    <w:pPr>
      <w:keepNext/>
      <w:keepLines/>
      <w:outlineLvl w:val="2"/>
    </w:pPr>
    <w:rPr>
      <w:rFonts w:ascii="仿宋_GB2312" w:hAnsi="仿宋_GB2312" w:eastAsia="仿宋_GB2312"/>
      <w:b/>
      <w:bCs/>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footnote text"/>
    <w:basedOn w:val="1"/>
    <w:autoRedefine/>
    <w:qFormat/>
    <w:uiPriority w:val="0"/>
    <w:pPr>
      <w:snapToGrid w:val="0"/>
      <w:jc w:val="left"/>
    </w:pPr>
    <w:rPr>
      <w:sz w:val="18"/>
    </w:rPr>
  </w:style>
  <w:style w:type="paragraph" w:styleId="4">
    <w:name w:val="annotation text"/>
    <w:basedOn w:val="1"/>
    <w:autoRedefine/>
    <w:qFormat/>
    <w:uiPriority w:val="0"/>
    <w:pPr>
      <w:jc w:val="left"/>
    </w:pPr>
  </w:style>
  <w:style w:type="paragraph" w:styleId="5">
    <w:name w:val="toc 3"/>
    <w:basedOn w:val="1"/>
    <w:next w:val="1"/>
    <w:autoRedefine/>
    <w:qFormat/>
    <w:uiPriority w:val="0"/>
    <w:pPr>
      <w:ind w:left="840" w:leftChars="400"/>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0"/>
  </w:style>
  <w:style w:type="paragraph" w:styleId="9">
    <w:name w:val="toc 2"/>
    <w:basedOn w:val="1"/>
    <w:next w:val="1"/>
    <w:autoRedefine/>
    <w:qFormat/>
    <w:uiPriority w:val="0"/>
    <w:pPr>
      <w:ind w:left="420" w:leftChars="200"/>
    </w:pPr>
  </w:style>
  <w:style w:type="paragraph" w:styleId="10">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3">
    <w:name w:val="Strong"/>
    <w:basedOn w:val="12"/>
    <w:autoRedefine/>
    <w:qFormat/>
    <w:uiPriority w:val="0"/>
    <w:rPr>
      <w:b/>
    </w:rPr>
  </w:style>
  <w:style w:type="paragraph" w:customStyle="1" w:styleId="14">
    <w:name w:val="WPSOffice手动目录 3"/>
    <w:autoRedefine/>
    <w:qFormat/>
    <w:uiPriority w:val="0"/>
    <w:pPr>
      <w:ind w:leftChars="400"/>
    </w:pPr>
    <w:rPr>
      <w:rFonts w:ascii="Times New Roman" w:hAnsi="Times New Roman" w:eastAsia="宋体" w:cs="Times New Roman"/>
      <w:sz w:val="20"/>
      <w:szCs w:val="20"/>
    </w:rPr>
  </w:style>
  <w:style w:type="paragraph" w:customStyle="1" w:styleId="15">
    <w:name w:val="WPSOffice手动目录 2"/>
    <w:autoRedefine/>
    <w:qFormat/>
    <w:uiPriority w:val="0"/>
    <w:pPr>
      <w:ind w:leftChars="200"/>
    </w:pPr>
    <w:rPr>
      <w:rFonts w:ascii="Times New Roman" w:hAnsi="Times New Roman" w:eastAsia="宋体" w:cs="Times New Roman"/>
      <w:sz w:val="20"/>
      <w:szCs w:val="20"/>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6621</Words>
  <Characters>22343</Characters>
  <Lines>0</Lines>
  <Paragraphs>0</Paragraphs>
  <TotalTime>0</TotalTime>
  <ScaleCrop>false</ScaleCrop>
  <LinksUpToDate>false</LinksUpToDate>
  <CharactersWithSpaces>22618</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周而</cp:lastModifiedBy>
  <dcterms:modified xsi:type="dcterms:W3CDTF">2024-11-15T10:20:05Z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D624B15633CD43C8BF9435464A96BF70</vt:lpwstr>
  </property>
</Properties>
</file>